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F383A" w14:textId="5643E3B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045A8D">
        <w:rPr>
          <w:rFonts w:ascii="Arial" w:eastAsia="Arial Unicode MS" w:hAnsi="Arial" w:cs="Arial"/>
          <w:b/>
          <w:bCs/>
          <w:sz w:val="24"/>
        </w:rPr>
        <w:t>8</w:t>
      </w:r>
      <w:r>
        <w:rPr>
          <w:rFonts w:ascii="Arial" w:eastAsia="Arial Unicode MS" w:hAnsi="Arial" w:cs="Arial"/>
          <w:b/>
          <w:bCs/>
          <w:sz w:val="24"/>
        </w:rPr>
        <w:tab/>
      </w:r>
      <w:r w:rsidR="007A0A99" w:rsidRPr="00212EBD">
        <w:rPr>
          <w:rFonts w:ascii="Arial" w:eastAsia="Arial Unicode MS" w:hAnsi="Arial" w:cs="Arial"/>
          <w:b/>
          <w:i/>
          <w:sz w:val="28"/>
        </w:rPr>
        <w:t>S2-2502948</w:t>
      </w:r>
    </w:p>
    <w:p w14:paraId="4272A802" w14:textId="691393D1" w:rsidR="00BC3C6F" w:rsidRPr="003244C5" w:rsidRDefault="00045A8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5A8D">
        <w:rPr>
          <w:rFonts w:ascii="Arial" w:eastAsia="Arial Unicode MS" w:hAnsi="Arial" w:cs="Arial"/>
          <w:b/>
          <w:bCs/>
          <w:sz w:val="24"/>
        </w:rPr>
        <w:t>7</w:t>
      </w:r>
      <w:r w:rsidRPr="00045A8D">
        <w:rPr>
          <w:rFonts w:ascii="Arial" w:eastAsia="Arial Unicode MS" w:hAnsi="Arial" w:cs="Arial"/>
          <w:b/>
          <w:bCs/>
          <w:sz w:val="24"/>
          <w:vertAlign w:val="superscript"/>
        </w:rPr>
        <w:t>th</w:t>
      </w:r>
      <w:r w:rsidRPr="00045A8D">
        <w:rPr>
          <w:rFonts w:ascii="Arial" w:eastAsia="Arial Unicode MS" w:hAnsi="Arial" w:cs="Arial"/>
          <w:b/>
          <w:bCs/>
          <w:sz w:val="24"/>
        </w:rPr>
        <w:t xml:space="preserve"> – 11</w:t>
      </w:r>
      <w:r w:rsidRPr="00045A8D">
        <w:rPr>
          <w:rFonts w:ascii="Arial" w:eastAsia="Arial Unicode MS" w:hAnsi="Arial" w:cs="Arial"/>
          <w:b/>
          <w:bCs/>
          <w:sz w:val="24"/>
          <w:vertAlign w:val="superscript"/>
        </w:rPr>
        <w:t>th</w:t>
      </w:r>
      <w:r w:rsidRPr="00045A8D">
        <w:rPr>
          <w:rFonts w:ascii="Arial" w:eastAsia="Arial Unicode MS" w:hAnsi="Arial" w:cs="Arial"/>
          <w:b/>
          <w:bCs/>
          <w:sz w:val="24"/>
        </w:rPr>
        <w:t xml:space="preserve"> </w:t>
      </w:r>
      <w:proofErr w:type="gramStart"/>
      <w:r w:rsidRPr="00045A8D">
        <w:rPr>
          <w:rFonts w:ascii="Arial" w:eastAsia="Arial Unicode MS" w:hAnsi="Arial" w:cs="Arial"/>
          <w:b/>
          <w:bCs/>
          <w:sz w:val="24"/>
        </w:rPr>
        <w:t>April,</w:t>
      </w:r>
      <w:proofErr w:type="gramEnd"/>
      <w:r w:rsidRPr="00045A8D">
        <w:rPr>
          <w:rFonts w:ascii="Arial" w:eastAsia="Arial Unicode MS" w:hAnsi="Arial" w:cs="Arial"/>
          <w:b/>
          <w:bCs/>
          <w:sz w:val="24"/>
        </w:rPr>
        <w:t xml:space="preserve"> 2025, Goteborg, Sweden</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884AF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5A249EF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16C5">
        <w:rPr>
          <w:rFonts w:ascii="Arial" w:hAnsi="Arial" w:cs="Arial"/>
          <w:b/>
        </w:rPr>
        <w:t>Remaining aspects on user consent and privacy for AI/ML-based positioning</w:t>
      </w:r>
      <w:r w:rsidR="00AC54DB">
        <w:rPr>
          <w:rFonts w:ascii="Arial" w:hAnsi="Arial" w:cs="Arial"/>
          <w:b/>
        </w:rPr>
        <w:t xml:space="preserve"> </w:t>
      </w:r>
    </w:p>
    <w:p w14:paraId="1FCFD491" w14:textId="5054D8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E16C5">
        <w:rPr>
          <w:rFonts w:ascii="Arial" w:hAnsi="Arial" w:cs="Arial"/>
          <w:b/>
        </w:rPr>
        <w:t>Decision</w:t>
      </w:r>
    </w:p>
    <w:p w14:paraId="031A7275" w14:textId="640CA63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824F7">
        <w:rPr>
          <w:rFonts w:ascii="Arial" w:hAnsi="Arial" w:cs="Arial"/>
          <w:b/>
        </w:rPr>
        <w:t>1</w:t>
      </w:r>
      <w:r w:rsidR="00606FF1">
        <w:rPr>
          <w:rFonts w:ascii="Arial" w:hAnsi="Arial" w:cs="Arial"/>
          <w:b/>
        </w:rPr>
        <w:t>9.</w:t>
      </w:r>
      <w:r w:rsidR="009824F7">
        <w:rPr>
          <w:rFonts w:ascii="Arial" w:hAnsi="Arial" w:cs="Arial"/>
          <w:b/>
        </w:rPr>
        <w:t>15</w:t>
      </w:r>
      <w:r w:rsidR="00EC6CB3">
        <w:rPr>
          <w:rFonts w:ascii="Arial" w:hAnsi="Arial" w:cs="Arial"/>
          <w:b/>
        </w:rPr>
        <w:t>.</w:t>
      </w:r>
      <w:r w:rsidR="009824F7">
        <w:rPr>
          <w:rFonts w:ascii="Arial" w:hAnsi="Arial" w:cs="Arial"/>
          <w:b/>
        </w:rPr>
        <w:t>2</w:t>
      </w:r>
    </w:p>
    <w:p w14:paraId="28A59353" w14:textId="6065AE3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AC54DB">
        <w:rPr>
          <w:rFonts w:ascii="Arial" w:hAnsi="Arial" w:cs="Arial"/>
          <w:b/>
          <w:bCs/>
          <w:color w:val="auto"/>
          <w:kern w:val="24"/>
          <w:sz w:val="18"/>
          <w:szCs w:val="18"/>
        </w:rPr>
        <w:t>A</w:t>
      </w:r>
      <w:r w:rsidR="00696D6C">
        <w:rPr>
          <w:rFonts w:ascii="Arial" w:hAnsi="Arial" w:cs="Arial"/>
          <w:b/>
          <w:bCs/>
          <w:color w:val="auto"/>
          <w:kern w:val="24"/>
          <w:sz w:val="18"/>
          <w:szCs w:val="18"/>
        </w:rPr>
        <w:t>IML</w:t>
      </w:r>
      <w:r w:rsidR="009824F7">
        <w:rPr>
          <w:rFonts w:ascii="Arial" w:hAnsi="Arial" w:cs="Arial"/>
          <w:b/>
          <w:bCs/>
          <w:color w:val="auto"/>
          <w:kern w:val="24"/>
          <w:sz w:val="18"/>
          <w:szCs w:val="18"/>
        </w:rPr>
        <w:t>_CN</w:t>
      </w:r>
      <w:r w:rsidR="00462B3D" w:rsidRPr="00CA76A1">
        <w:rPr>
          <w:rFonts w:ascii="Arial" w:hAnsi="Arial" w:cs="Arial"/>
          <w:b/>
        </w:rPr>
        <w:t xml:space="preserve"> / Rel-1</w:t>
      </w:r>
      <w:r w:rsidR="009824F7">
        <w:rPr>
          <w:rFonts w:ascii="Arial" w:hAnsi="Arial" w:cs="Arial"/>
          <w:b/>
        </w:rPr>
        <w:t>9</w:t>
      </w:r>
    </w:p>
    <w:p w14:paraId="7311A00F" w14:textId="7A5A7FD6"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F628A2">
        <w:rPr>
          <w:rFonts w:ascii="Arial" w:hAnsi="Arial" w:cs="Arial"/>
          <w:i/>
        </w:rPr>
        <w:t xml:space="preserve">This discussion paper </w:t>
      </w:r>
      <w:r w:rsidR="00BE49A1">
        <w:rPr>
          <w:rFonts w:ascii="Arial" w:hAnsi="Arial" w:cs="Arial"/>
          <w:i/>
        </w:rPr>
        <w:t>analyses</w:t>
      </w:r>
      <w:r w:rsidR="00F628A2">
        <w:rPr>
          <w:rFonts w:ascii="Arial" w:hAnsi="Arial" w:cs="Arial"/>
          <w:i/>
        </w:rPr>
        <w:t xml:space="preserve"> the </w:t>
      </w:r>
      <w:r w:rsidR="00305143">
        <w:rPr>
          <w:rFonts w:ascii="Arial" w:hAnsi="Arial" w:cs="Arial"/>
          <w:i/>
        </w:rPr>
        <w:t>status of</w:t>
      </w:r>
      <w:r w:rsidR="00FB0B08">
        <w:rPr>
          <w:rFonts w:ascii="Arial" w:hAnsi="Arial" w:cs="Arial"/>
          <w:i/>
        </w:rPr>
        <w:t xml:space="preserve"> open issues for</w:t>
      </w:r>
      <w:r w:rsidR="00F628A2">
        <w:rPr>
          <w:rFonts w:ascii="Arial" w:hAnsi="Arial" w:cs="Arial"/>
          <w:i/>
        </w:rPr>
        <w:t xml:space="preserve"> </w:t>
      </w:r>
      <w:r w:rsidR="00CE16C5">
        <w:rPr>
          <w:rFonts w:ascii="Arial" w:hAnsi="Arial" w:cs="Arial"/>
          <w:i/>
        </w:rPr>
        <w:t>user consent and privacy for AI/ML-based positioning</w:t>
      </w:r>
      <w:r w:rsidR="00305143">
        <w:rPr>
          <w:rFonts w:ascii="Arial" w:hAnsi="Arial" w:cs="Arial"/>
          <w:i/>
        </w:rPr>
        <w:t xml:space="preserve"> in SA2</w:t>
      </w:r>
      <w:r w:rsidR="00EC62CF">
        <w:rPr>
          <w:rFonts w:ascii="Arial" w:hAnsi="Arial" w:cs="Arial"/>
          <w:i/>
        </w:rPr>
        <w:t xml:space="preserve"> and proposes a way forward</w:t>
      </w:r>
      <w:r w:rsidR="00A70300">
        <w:rPr>
          <w:rFonts w:ascii="Arial" w:hAnsi="Arial" w:cs="Arial"/>
          <w:i/>
        </w:rPr>
        <w:t>.</w:t>
      </w:r>
      <w:r w:rsidR="00035665">
        <w:rPr>
          <w:rFonts w:ascii="Arial" w:hAnsi="Arial" w:cs="Arial"/>
          <w:i/>
        </w:rPr>
        <w:t xml:space="preserve"> </w:t>
      </w:r>
      <w:r w:rsidR="006C1BBD">
        <w:rPr>
          <w:rFonts w:ascii="Arial" w:hAnsi="Arial" w:cs="Arial"/>
          <w:i/>
        </w:rPr>
        <w:tab/>
      </w:r>
    </w:p>
    <w:p w14:paraId="0636462E" w14:textId="63CD46D9" w:rsidR="00A93620" w:rsidRDefault="00B3593E" w:rsidP="00B3593E">
      <w:pPr>
        <w:pStyle w:val="Heading1"/>
      </w:pPr>
      <w:r w:rsidRPr="00606FF1">
        <w:t xml:space="preserve">1. </w:t>
      </w:r>
      <w:r w:rsidR="00462FB1">
        <w:t>Discussion</w:t>
      </w:r>
    </w:p>
    <w:p w14:paraId="3E760CCD" w14:textId="4E727C96" w:rsidR="00462FB1" w:rsidRPr="00462FB1" w:rsidRDefault="00462FB1" w:rsidP="00462FB1">
      <w:pPr>
        <w:pStyle w:val="Heading2"/>
      </w:pPr>
      <w:r>
        <w:t>1.</w:t>
      </w:r>
      <w:r>
        <w:t>1</w:t>
      </w:r>
      <w:r>
        <w:tab/>
      </w:r>
      <w:r>
        <w:t>Introduction</w:t>
      </w:r>
      <w:r>
        <w:t xml:space="preserve"> </w:t>
      </w:r>
      <w:r w:rsidRPr="00B0552A">
        <w:t xml:space="preserve">  </w:t>
      </w:r>
    </w:p>
    <w:p w14:paraId="07815BA1" w14:textId="4F4252F9" w:rsidR="008C2C14" w:rsidRPr="00E27CCE" w:rsidRDefault="002E0BAC" w:rsidP="00AC54DB">
      <w:pPr>
        <w:rPr>
          <w:bCs/>
        </w:rPr>
      </w:pPr>
      <w:r w:rsidRPr="00E27CCE">
        <w:rPr>
          <w:bCs/>
        </w:rPr>
        <w:t>During SA2#167 it was discussed whether the UE LCS privacy profile as defined in TS 23.273 needs to be checked when ground truth data (i.e. UE estimated location) is collected from the UE</w:t>
      </w:r>
      <w:r w:rsidRPr="00E27CCE">
        <w:rPr>
          <w:bCs/>
        </w:rPr>
        <w:t xml:space="preserve">, and </w:t>
      </w:r>
      <w:r w:rsidR="008C2C14" w:rsidRPr="00E27CCE">
        <w:rPr>
          <w:bCs/>
        </w:rPr>
        <w:t xml:space="preserve">the following was captured in the chair’s notes </w:t>
      </w:r>
      <w:r w:rsidRPr="00E27CCE">
        <w:rPr>
          <w:bCs/>
        </w:rPr>
        <w:t xml:space="preserve">by Dario </w:t>
      </w:r>
      <w:r w:rsidR="00E27CCE" w:rsidRPr="00E27CCE">
        <w:rPr>
          <w:bCs/>
        </w:rPr>
        <w:t xml:space="preserve">related to </w:t>
      </w:r>
      <w:r w:rsidR="008C2C14" w:rsidRPr="00E27CCE">
        <w:rPr>
          <w:bCs/>
        </w:rPr>
        <w:t>S2-2502257: “It is agreed that the issue of privacy check will be addressed as corrections in next meetings.”</w:t>
      </w:r>
    </w:p>
    <w:p w14:paraId="52E383BE" w14:textId="58D58073" w:rsidR="004B2961" w:rsidRDefault="008C2C14" w:rsidP="00AC54DB">
      <w:pPr>
        <w:rPr>
          <w:bCs/>
        </w:rPr>
      </w:pPr>
      <w:r>
        <w:rPr>
          <w:bCs/>
        </w:rPr>
        <w:t>In addition, t</w:t>
      </w:r>
      <w:r w:rsidR="00B91EAB">
        <w:rPr>
          <w:bCs/>
        </w:rPr>
        <w:t xml:space="preserve">he </w:t>
      </w:r>
      <w:r w:rsidR="00CE16C5">
        <w:rPr>
          <w:bCs/>
        </w:rPr>
        <w:t xml:space="preserve">following Editor’s Notes are </w:t>
      </w:r>
      <w:r w:rsidR="00B133B9">
        <w:rPr>
          <w:bCs/>
        </w:rPr>
        <w:t xml:space="preserve">still </w:t>
      </w:r>
      <w:r w:rsidR="00CE16C5">
        <w:rPr>
          <w:bCs/>
        </w:rPr>
        <w:t>outstanding</w:t>
      </w:r>
      <w:r w:rsidR="00670B80">
        <w:rPr>
          <w:bCs/>
        </w:rPr>
        <w:t xml:space="preserve"> in TS 23.273 on clauses related to AI/ML-based positioning</w:t>
      </w:r>
      <w:r w:rsidR="00CE16C5">
        <w:rPr>
          <w:bCs/>
        </w:rPr>
        <w:t>:</w:t>
      </w:r>
      <w:r w:rsidR="00B3587C">
        <w:rPr>
          <w:bCs/>
        </w:rPr>
        <w:t xml:space="preserve"> </w:t>
      </w:r>
    </w:p>
    <w:p w14:paraId="4EB4A459" w14:textId="2111CA5E" w:rsidR="0083779F" w:rsidRDefault="0083779F" w:rsidP="0083779F">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4AD384E5" w14:textId="77777777" w:rsidR="0083779F" w:rsidRDefault="0083779F" w:rsidP="0083779F">
      <w:pPr>
        <w:pStyle w:val="EditorsNote"/>
        <w:rPr>
          <w:lang w:eastAsia="zh-CN"/>
        </w:rPr>
      </w:pPr>
      <w:r>
        <w:rPr>
          <w:lang w:eastAsia="zh-CN"/>
        </w:rPr>
        <w:t>Editor's note:</w:t>
      </w:r>
      <w:r>
        <w:rPr>
          <w:lang w:eastAsia="zh-CN"/>
        </w:rPr>
        <w:tab/>
        <w:t>Further details on user consent for data collection for a specific purpose, e.g. for model training and/or model performance monitoring for LMF-based AI/ML Model positioning will be aligned with SA WG3.</w:t>
      </w:r>
    </w:p>
    <w:p w14:paraId="29C7FE79" w14:textId="6A4795DE" w:rsidR="00CE0C3F" w:rsidRDefault="00670B80" w:rsidP="00305143">
      <w:pPr>
        <w:rPr>
          <w:bCs/>
        </w:rPr>
      </w:pPr>
      <w:r>
        <w:rPr>
          <w:bCs/>
        </w:rPr>
        <w:t xml:space="preserve">This discussion paper proposes resolutions to </w:t>
      </w:r>
      <w:r w:rsidR="008C2C14">
        <w:rPr>
          <w:bCs/>
        </w:rPr>
        <w:t xml:space="preserve">some of </w:t>
      </w:r>
      <w:r>
        <w:rPr>
          <w:bCs/>
        </w:rPr>
        <w:t>the above outstanding issues.</w:t>
      </w:r>
    </w:p>
    <w:p w14:paraId="7F8F89A8" w14:textId="107C0670" w:rsidR="002A09CF" w:rsidRPr="00B0552A" w:rsidRDefault="002A09CF" w:rsidP="002A09CF">
      <w:pPr>
        <w:pStyle w:val="Heading2"/>
      </w:pPr>
      <w:r>
        <w:t>1.</w:t>
      </w:r>
      <w:r w:rsidR="00462FB1">
        <w:t>2</w:t>
      </w:r>
      <w:r>
        <w:tab/>
      </w:r>
      <w:r w:rsidR="00462FB1" w:rsidRPr="00462FB1">
        <w:t>UE LCS Privacy Profile Check</w:t>
      </w:r>
      <w:r>
        <w:t xml:space="preserve"> </w:t>
      </w:r>
      <w:r w:rsidRPr="00B0552A">
        <w:t xml:space="preserve">  </w:t>
      </w:r>
    </w:p>
    <w:p w14:paraId="65AE18C7" w14:textId="433634E9" w:rsidR="006D315F" w:rsidRDefault="005A0320" w:rsidP="005A0320">
      <w:pPr>
        <w:rPr>
          <w:bCs/>
        </w:rPr>
      </w:pPr>
      <w:r w:rsidRPr="005E42D7">
        <w:rPr>
          <w:bCs/>
        </w:rPr>
        <w:t xml:space="preserve">During SA2#167 it was discussed whether the UE LCS privacy profile </w:t>
      </w:r>
      <w:r w:rsidR="006D315F" w:rsidRPr="005E42D7">
        <w:rPr>
          <w:bCs/>
        </w:rPr>
        <w:t xml:space="preserve">as defined in TS 23.273 </w:t>
      </w:r>
      <w:r w:rsidRPr="005E42D7">
        <w:rPr>
          <w:bCs/>
        </w:rPr>
        <w:t xml:space="preserve">needs to be checked when ground truth data (i.e. UE </w:t>
      </w:r>
      <w:r w:rsidR="006D315F" w:rsidRPr="005E42D7">
        <w:rPr>
          <w:bCs/>
        </w:rPr>
        <w:t xml:space="preserve">estimated </w:t>
      </w:r>
      <w:r w:rsidRPr="005E42D7">
        <w:rPr>
          <w:bCs/>
        </w:rPr>
        <w:t>location) is collected from the UE, which, according to the LS from RAN1 in R1-2405578, is required for both training and performance monitoring</w:t>
      </w:r>
      <w:r w:rsidR="006D315F" w:rsidRPr="005E42D7">
        <w:rPr>
          <w:bCs/>
        </w:rPr>
        <w:t xml:space="preserve"> for AI/ML-based positioning</w:t>
      </w:r>
      <w:r w:rsidRPr="005E42D7">
        <w:rPr>
          <w:bCs/>
        </w:rPr>
        <w:t xml:space="preserve">. The discussion did not reach </w:t>
      </w:r>
      <w:r w:rsidR="006D315F" w:rsidRPr="005E42D7">
        <w:rPr>
          <w:bCs/>
        </w:rPr>
        <w:t>an</w:t>
      </w:r>
      <w:r w:rsidRPr="005E42D7">
        <w:rPr>
          <w:bCs/>
        </w:rPr>
        <w:t xml:space="preserve"> agreement </w:t>
      </w:r>
      <w:r w:rsidR="006D315F" w:rsidRPr="005E42D7">
        <w:rPr>
          <w:bCs/>
        </w:rPr>
        <w:t>considering that</w:t>
      </w:r>
      <w:r w:rsidRPr="005E42D7">
        <w:rPr>
          <w:bCs/>
        </w:rPr>
        <w:t xml:space="preserve"> user consent is also checked by LMF during data collection </w:t>
      </w:r>
      <w:r w:rsidR="006D315F" w:rsidRPr="005E42D7">
        <w:rPr>
          <w:bCs/>
        </w:rPr>
        <w:t>for training and performance monitoring. However, clauses 5.4.2.2.4 and 6.1.2 in TS 23.273 show that when a 5GC NF (e.g. NWDAF) collects the UE location obtained via the 5GC LCS, the UE LCS privacy profile needs to be checked by GMLC</w:t>
      </w:r>
      <w:r w:rsidR="001E6B22">
        <w:rPr>
          <w:bCs/>
        </w:rPr>
        <w:t xml:space="preserve">, </w:t>
      </w:r>
      <w:r w:rsidR="00BF2FE2">
        <w:rPr>
          <w:bCs/>
        </w:rPr>
        <w:t>with no dependency on</w:t>
      </w:r>
      <w:r w:rsidR="001E6B22">
        <w:rPr>
          <w:bCs/>
        </w:rPr>
        <w:t xml:space="preserve"> the user consent</w:t>
      </w:r>
      <w:r w:rsidR="00BF2FE2">
        <w:rPr>
          <w:bCs/>
        </w:rPr>
        <w:t xml:space="preserve"> status</w:t>
      </w:r>
      <w:r w:rsidR="006D315F" w:rsidRPr="005E42D7">
        <w:rPr>
          <w:bCs/>
        </w:rPr>
        <w:t xml:space="preserve">. This is also </w:t>
      </w:r>
      <w:r w:rsidR="005E42D7" w:rsidRPr="005E42D7">
        <w:rPr>
          <w:bCs/>
        </w:rPr>
        <w:t>implied</w:t>
      </w:r>
      <w:r w:rsidR="006D315F" w:rsidRPr="005E42D7">
        <w:rPr>
          <w:bCs/>
        </w:rPr>
        <w:t xml:space="preserve"> in </w:t>
      </w:r>
      <w:r w:rsidR="005E42D7" w:rsidRPr="005E42D7">
        <w:rPr>
          <w:bCs/>
        </w:rPr>
        <w:t xml:space="preserve">clause 6.2.12.2 of </w:t>
      </w:r>
      <w:r w:rsidR="006D315F" w:rsidRPr="005E42D7">
        <w:rPr>
          <w:bCs/>
        </w:rPr>
        <w:t>TS 23.288</w:t>
      </w:r>
      <w:r w:rsidR="005E42D7" w:rsidRPr="005E42D7">
        <w:rPr>
          <w:bCs/>
        </w:rPr>
        <w:t xml:space="preserve"> where it is mentioned that privacy verification may be performed before the UE location is shared with NWDAF</w:t>
      </w:r>
      <w:r w:rsidR="0060262F">
        <w:rPr>
          <w:bCs/>
        </w:rPr>
        <w:t xml:space="preserve"> by GMLC</w:t>
      </w:r>
      <w:r w:rsidR="005E42D7" w:rsidRPr="005E42D7">
        <w:rPr>
          <w:bCs/>
        </w:rPr>
        <w:t>.</w:t>
      </w:r>
    </w:p>
    <w:p w14:paraId="7DBBA5DE" w14:textId="7D572ED7" w:rsidR="00374579" w:rsidRPr="005A0320" w:rsidRDefault="006D315F" w:rsidP="00374579">
      <w:pPr>
        <w:rPr>
          <w:bCs/>
        </w:rPr>
      </w:pPr>
      <w:r>
        <w:rPr>
          <w:bCs/>
        </w:rPr>
        <w:t xml:space="preserve">Based on the above, it is proposed to specify as part of Rel-19 that </w:t>
      </w:r>
      <w:r w:rsidR="00374579">
        <w:rPr>
          <w:bCs/>
        </w:rPr>
        <w:t xml:space="preserve">LMF is the NF that checks </w:t>
      </w:r>
      <w:r>
        <w:rPr>
          <w:bCs/>
        </w:rPr>
        <w:t xml:space="preserve">the UE LCS privacy profile </w:t>
      </w:r>
      <w:r w:rsidR="00374579">
        <w:rPr>
          <w:bCs/>
        </w:rPr>
        <w:t xml:space="preserve">for training and performance monitoring of AI/ML-based positioning, since GMLC need not be involved for training and performance monitoring in AI/ML-based positioning. It is further emphasized that this check is mandatory when </w:t>
      </w:r>
      <w:r w:rsidR="006B3B78">
        <w:rPr>
          <w:bCs/>
        </w:rPr>
        <w:t xml:space="preserve">LMF shares the ground truth data because </w:t>
      </w:r>
      <w:r w:rsidR="00374579">
        <w:rPr>
          <w:bCs/>
        </w:rPr>
        <w:t xml:space="preserve">model training and/or performance monitoring takes place at NWDAF. </w:t>
      </w:r>
    </w:p>
    <w:p w14:paraId="097D98CE" w14:textId="697500CF" w:rsidR="002A09CF" w:rsidRDefault="00CB440D" w:rsidP="00FA5527">
      <w:pPr>
        <w:rPr>
          <w:b/>
        </w:rPr>
      </w:pPr>
      <w:r w:rsidRPr="00DB0721">
        <w:rPr>
          <w:b/>
        </w:rPr>
        <w:t xml:space="preserve">Proposal </w:t>
      </w:r>
      <w:r w:rsidR="00FA5527" w:rsidRPr="00DB0721">
        <w:rPr>
          <w:b/>
        </w:rPr>
        <w:t xml:space="preserve">1: LMF </w:t>
      </w:r>
      <w:r w:rsidR="00374579">
        <w:rPr>
          <w:b/>
        </w:rPr>
        <w:t xml:space="preserve">is the NF that </w:t>
      </w:r>
      <w:r w:rsidR="00FA5527" w:rsidRPr="00DB0721">
        <w:rPr>
          <w:b/>
        </w:rPr>
        <w:t xml:space="preserve">checks UE LCS privacy profile when ground truth data (i.e. UE location) is collected </w:t>
      </w:r>
      <w:r w:rsidRPr="00DB0721">
        <w:rPr>
          <w:b/>
        </w:rPr>
        <w:t xml:space="preserve">for </w:t>
      </w:r>
      <w:r w:rsidR="00FA5527" w:rsidRPr="00DB0721">
        <w:rPr>
          <w:b/>
        </w:rPr>
        <w:t>training and/or performance monitoring</w:t>
      </w:r>
      <w:r w:rsidR="00DB0721" w:rsidRPr="00DB0721">
        <w:rPr>
          <w:b/>
        </w:rPr>
        <w:t>. This check is mandatory</w:t>
      </w:r>
      <w:r w:rsidR="00FA5527" w:rsidRPr="00DB0721">
        <w:rPr>
          <w:b/>
        </w:rPr>
        <w:t xml:space="preserve"> </w:t>
      </w:r>
      <w:r w:rsidR="00DB0721" w:rsidRPr="00DB0721">
        <w:rPr>
          <w:b/>
        </w:rPr>
        <w:t>when</w:t>
      </w:r>
      <w:r w:rsidR="00FA5527" w:rsidRPr="00DB0721">
        <w:rPr>
          <w:b/>
        </w:rPr>
        <w:t xml:space="preserve"> </w:t>
      </w:r>
      <w:proofErr w:type="spellStart"/>
      <w:r w:rsidR="00BB1FA4" w:rsidRPr="00BB1FA4">
        <w:rPr>
          <w:b/>
        </w:rPr>
        <w:t>when</w:t>
      </w:r>
      <w:proofErr w:type="spellEnd"/>
      <w:r w:rsidR="00BB1FA4" w:rsidRPr="00BB1FA4">
        <w:rPr>
          <w:b/>
        </w:rPr>
        <w:t xml:space="preserve"> the ground truth data is shared with NWDAF</w:t>
      </w:r>
      <w:r w:rsidR="00374579">
        <w:rPr>
          <w:b/>
        </w:rPr>
        <w:t>.</w:t>
      </w:r>
      <w:r w:rsidR="00970B76">
        <w:rPr>
          <w:b/>
        </w:rPr>
        <w:t xml:space="preserve"> </w:t>
      </w:r>
    </w:p>
    <w:p w14:paraId="32CCEE53" w14:textId="552EE738" w:rsidR="00462FB1" w:rsidRPr="00462FB1" w:rsidRDefault="00462FB1" w:rsidP="00462FB1">
      <w:pPr>
        <w:pStyle w:val="Heading2"/>
      </w:pPr>
      <w:r>
        <w:lastRenderedPageBreak/>
        <w:t>1.</w:t>
      </w:r>
      <w:r>
        <w:t>3</w:t>
      </w:r>
      <w:r>
        <w:tab/>
      </w:r>
      <w:r w:rsidRPr="00462FB1">
        <w:t>User Consent Aspects</w:t>
      </w:r>
      <w:r>
        <w:t xml:space="preserve"> </w:t>
      </w:r>
      <w:r w:rsidRPr="00B0552A">
        <w:t xml:space="preserve">  </w:t>
      </w:r>
    </w:p>
    <w:p w14:paraId="0943564B" w14:textId="42A4B34D" w:rsidR="00787006" w:rsidRPr="00787006" w:rsidRDefault="00654671" w:rsidP="002A09CF">
      <w:pPr>
        <w:rPr>
          <w:bCs/>
        </w:rPr>
      </w:pPr>
      <w:r w:rsidRPr="00787006">
        <w:rPr>
          <w:bCs/>
        </w:rPr>
        <w:t>During both SA2#1666AH-E and SA2#167 it was discussed</w:t>
      </w:r>
      <w:r w:rsidR="00FD4D82" w:rsidRPr="00787006">
        <w:rPr>
          <w:bCs/>
        </w:rPr>
        <w:t xml:space="preserve"> whether new user consent purposes were needed in </w:t>
      </w:r>
      <w:bookmarkStart w:id="0" w:name="_CRTable5_2_3_3_11"/>
      <w:r w:rsidR="00FD4D82" w:rsidRPr="00787006">
        <w:rPr>
          <w:bCs/>
        </w:rPr>
        <w:t xml:space="preserve">Table </w:t>
      </w:r>
      <w:bookmarkEnd w:id="0"/>
      <w:r w:rsidR="00FD4D82" w:rsidRPr="00787006">
        <w:rPr>
          <w:bCs/>
        </w:rPr>
        <w:t xml:space="preserve">5.2.3.3.1-1 of TS 23.502 to support AI/ML-based positioning (e.g. by introducing a new purpose to support model monitoring), with </w:t>
      </w:r>
      <w:proofErr w:type="gramStart"/>
      <w:r w:rsidR="00FD4D82" w:rsidRPr="00787006">
        <w:rPr>
          <w:bCs/>
        </w:rPr>
        <w:t>a majority of</w:t>
      </w:r>
      <w:proofErr w:type="gramEnd"/>
      <w:r w:rsidR="00FD4D82" w:rsidRPr="00787006">
        <w:rPr>
          <w:bCs/>
        </w:rPr>
        <w:t xml:space="preserve"> companies seemingly preferring not to do it.</w:t>
      </w:r>
      <w:r w:rsidR="00787006" w:rsidRPr="00787006">
        <w:rPr>
          <w:bCs/>
        </w:rPr>
        <w:t xml:space="preserve"> </w:t>
      </w:r>
      <w:r w:rsidR="008C6F17">
        <w:rPr>
          <w:bCs/>
        </w:rPr>
        <w:t xml:space="preserve">In addition, </w:t>
      </w:r>
      <w:r w:rsidR="00787006" w:rsidRPr="00787006">
        <w:rPr>
          <w:bCs/>
        </w:rPr>
        <w:t>TS 29.503</w:t>
      </w:r>
      <w:r w:rsidR="008C6F17">
        <w:rPr>
          <w:bCs/>
        </w:rPr>
        <w:t xml:space="preserve"> is the Stage 3 specification rigorously documenting all user consent purposes supported in UDM so far, which includes two additional purposes as those documented in TS 23.502 as examples. </w:t>
      </w:r>
    </w:p>
    <w:p w14:paraId="5016B17B" w14:textId="725BDDAC" w:rsidR="008C6F17" w:rsidRDefault="00787006" w:rsidP="002A09CF">
      <w:pPr>
        <w:rPr>
          <w:bCs/>
        </w:rPr>
      </w:pPr>
      <w:r w:rsidRPr="008C6F17">
        <w:rPr>
          <w:bCs/>
        </w:rPr>
        <w:t>While in our view the distinction between model training and model performance monitoring is clear</w:t>
      </w:r>
      <w:r w:rsidR="008C6F17" w:rsidRPr="008C6F17">
        <w:rPr>
          <w:bCs/>
        </w:rPr>
        <w:t xml:space="preserve"> from a user consent point of view</w:t>
      </w:r>
      <w:r w:rsidRPr="008C6F17">
        <w:rPr>
          <w:bCs/>
        </w:rPr>
        <w:t>, we also understand the system impacts of extending user consent purpose in Stage 2 at this late stage</w:t>
      </w:r>
      <w:r w:rsidR="008C6F17" w:rsidRPr="008C6F17">
        <w:rPr>
          <w:bCs/>
        </w:rPr>
        <w:t xml:space="preserve"> of Rel-19</w:t>
      </w:r>
      <w:r w:rsidRPr="008C6F17">
        <w:rPr>
          <w:bCs/>
        </w:rPr>
        <w:t xml:space="preserve">. Therefore, </w:t>
      </w:r>
      <w:r w:rsidR="008C6F17">
        <w:rPr>
          <w:bCs/>
        </w:rPr>
        <w:t xml:space="preserve">we propose to add a NOTE in </w:t>
      </w:r>
      <w:r w:rsidR="008C6F17" w:rsidRPr="00787006">
        <w:rPr>
          <w:bCs/>
        </w:rPr>
        <w:t>Table 5.2.3.3.1-1 of TS 23.502</w:t>
      </w:r>
      <w:r w:rsidR="008C6F17">
        <w:rPr>
          <w:bCs/>
        </w:rPr>
        <w:t xml:space="preserve"> </w:t>
      </w:r>
      <w:proofErr w:type="gramStart"/>
      <w:r w:rsidR="00E92A92">
        <w:rPr>
          <w:bCs/>
        </w:rPr>
        <w:t>similar to</w:t>
      </w:r>
      <w:proofErr w:type="gramEnd"/>
      <w:r w:rsidR="008C6F17">
        <w:rPr>
          <w:bCs/>
        </w:rPr>
        <w:t xml:space="preserve"> the one proposed in </w:t>
      </w:r>
      <w:r w:rsidR="008C6F17" w:rsidRPr="008C6F17">
        <w:rPr>
          <w:bCs/>
        </w:rPr>
        <w:t>S2-2502174</w:t>
      </w:r>
      <w:r w:rsidR="00E92A92">
        <w:rPr>
          <w:bCs/>
        </w:rPr>
        <w:t xml:space="preserve"> but left unhandled</w:t>
      </w:r>
      <w:r w:rsidR="008C6F17">
        <w:rPr>
          <w:bCs/>
        </w:rPr>
        <w:t xml:space="preserve">, </w:t>
      </w:r>
      <w:r w:rsidR="00E92A92">
        <w:rPr>
          <w:bCs/>
        </w:rPr>
        <w:t xml:space="preserve">further </w:t>
      </w:r>
      <w:r w:rsidR="008C6F17">
        <w:rPr>
          <w:bCs/>
        </w:rPr>
        <w:t>indicating that any extension to user consent purpose can be left to Stage 3.</w:t>
      </w:r>
    </w:p>
    <w:p w14:paraId="247E826F" w14:textId="2324D4D7" w:rsidR="00FD4D82" w:rsidRPr="005665CA" w:rsidRDefault="00FD4D82" w:rsidP="00FD4D82">
      <w:pPr>
        <w:rPr>
          <w:b/>
        </w:rPr>
      </w:pPr>
      <w:r w:rsidRPr="005665CA">
        <w:rPr>
          <w:b/>
        </w:rPr>
        <w:t>Proposal</w:t>
      </w:r>
      <w:r>
        <w:rPr>
          <w:b/>
        </w:rPr>
        <w:t xml:space="preserve"> 2:</w:t>
      </w:r>
      <w:r w:rsidRPr="005665CA">
        <w:rPr>
          <w:b/>
        </w:rPr>
        <w:t xml:space="preserve"> </w:t>
      </w:r>
      <w:r>
        <w:rPr>
          <w:b/>
        </w:rPr>
        <w:t xml:space="preserve">Add a </w:t>
      </w:r>
      <w:r w:rsidRPr="005665CA">
        <w:rPr>
          <w:b/>
        </w:rPr>
        <w:t>NOTE</w:t>
      </w:r>
      <w:r>
        <w:rPr>
          <w:b/>
        </w:rPr>
        <w:t xml:space="preserve"> </w:t>
      </w:r>
      <w:r w:rsidRPr="00FD4D82">
        <w:rPr>
          <w:b/>
          <w:bCs/>
        </w:rPr>
        <w:t>in Table 5.2.3.3.1-1</w:t>
      </w:r>
      <w:r>
        <w:rPr>
          <w:b/>
          <w:bCs/>
        </w:rPr>
        <w:t xml:space="preserve"> </w:t>
      </w:r>
      <w:r w:rsidRPr="00FD4D82">
        <w:rPr>
          <w:b/>
          <w:bCs/>
        </w:rPr>
        <w:t>of TS 23.502</w:t>
      </w:r>
      <w:r w:rsidRPr="005665CA">
        <w:rPr>
          <w:b/>
        </w:rPr>
        <w:t xml:space="preserve"> indicating that </w:t>
      </w:r>
      <w:r>
        <w:rPr>
          <w:b/>
        </w:rPr>
        <w:t xml:space="preserve">model </w:t>
      </w:r>
      <w:r w:rsidRPr="005665CA">
        <w:rPr>
          <w:b/>
        </w:rPr>
        <w:t>training</w:t>
      </w:r>
      <w:r>
        <w:rPr>
          <w:b/>
        </w:rPr>
        <w:t xml:space="preserve"> purpose</w:t>
      </w:r>
      <w:r w:rsidRPr="005665CA">
        <w:rPr>
          <w:b/>
        </w:rPr>
        <w:t xml:space="preserve"> applies to both model training and</w:t>
      </w:r>
      <w:r w:rsidR="00BA5084">
        <w:rPr>
          <w:b/>
        </w:rPr>
        <w:t xml:space="preserve"> model</w:t>
      </w:r>
      <w:r w:rsidRPr="005665CA">
        <w:rPr>
          <w:b/>
        </w:rPr>
        <w:t xml:space="preserve"> performance monitoring</w:t>
      </w:r>
      <w:r w:rsidR="008C6F17">
        <w:rPr>
          <w:b/>
        </w:rPr>
        <w:t>, and any extension to user consent purpose would be left to Stage 3</w:t>
      </w:r>
      <w:r w:rsidR="00F606E8">
        <w:rPr>
          <w:b/>
        </w:rPr>
        <w:t>.</w:t>
      </w:r>
    </w:p>
    <w:p w14:paraId="38DE75F2" w14:textId="71E6A1A0" w:rsidR="00DA5653" w:rsidRDefault="00F606E8" w:rsidP="00FA5527">
      <w:pPr>
        <w:rPr>
          <w:bCs/>
        </w:rPr>
      </w:pPr>
      <w:r w:rsidRPr="00DA5653">
        <w:rPr>
          <w:bCs/>
        </w:rPr>
        <w:t xml:space="preserve">In addition, </w:t>
      </w:r>
      <w:r w:rsidR="00627C81" w:rsidRPr="00DA5653">
        <w:rPr>
          <w:bCs/>
        </w:rPr>
        <w:t xml:space="preserve">during SA2#166 </w:t>
      </w:r>
      <w:r w:rsidR="008C6F17" w:rsidRPr="00DA5653">
        <w:rPr>
          <w:bCs/>
        </w:rPr>
        <w:t xml:space="preserve">SA2 sent an LS to SA3 </w:t>
      </w:r>
      <w:r w:rsidR="00627C81" w:rsidRPr="00DA5653">
        <w:rPr>
          <w:bCs/>
        </w:rPr>
        <w:t xml:space="preserve">in S2-2412940 </w:t>
      </w:r>
      <w:r w:rsidR="00040CAC" w:rsidRPr="00DA5653">
        <w:rPr>
          <w:bCs/>
        </w:rPr>
        <w:t xml:space="preserve">asking whether user consent needs to be checked in addition to the privacy profile </w:t>
      </w:r>
      <w:r w:rsidR="00627C81" w:rsidRPr="00DA5653">
        <w:rPr>
          <w:bCs/>
        </w:rPr>
        <w:t xml:space="preserve">when performing inference for </w:t>
      </w:r>
      <w:r w:rsidR="00040CAC" w:rsidRPr="00DA5653">
        <w:rPr>
          <w:bCs/>
        </w:rPr>
        <w:t>AI/ML-based positioning</w:t>
      </w:r>
      <w:r w:rsidR="00DA5653" w:rsidRPr="00DA5653">
        <w:rPr>
          <w:bCs/>
        </w:rPr>
        <w:t xml:space="preserve">, and the related Editor’s Note mentioned in </w:t>
      </w:r>
      <w:r w:rsidR="008134FC">
        <w:rPr>
          <w:bCs/>
        </w:rPr>
        <w:t>clause</w:t>
      </w:r>
      <w:r w:rsidR="00DA5653" w:rsidRPr="00DA5653">
        <w:rPr>
          <w:bCs/>
        </w:rPr>
        <w:t xml:space="preserve"> 1.1 of this discussion paper was documented in TS 23.273</w:t>
      </w:r>
      <w:r w:rsidR="00040CAC" w:rsidRPr="00DA5653">
        <w:rPr>
          <w:bCs/>
        </w:rPr>
        <w:t>. Unfortunately</w:t>
      </w:r>
      <w:r w:rsidR="00D56DF3" w:rsidRPr="00DA5653">
        <w:rPr>
          <w:bCs/>
        </w:rPr>
        <w:t>,</w:t>
      </w:r>
      <w:r w:rsidR="00040CAC" w:rsidRPr="00DA5653">
        <w:rPr>
          <w:bCs/>
        </w:rPr>
        <w:t xml:space="preserve"> SA3 could not </w:t>
      </w:r>
      <w:r w:rsidR="003C3722" w:rsidRPr="00DA5653">
        <w:rPr>
          <w:bCs/>
        </w:rPr>
        <w:t>reach</w:t>
      </w:r>
      <w:r w:rsidR="00040CAC" w:rsidRPr="00DA5653">
        <w:rPr>
          <w:bCs/>
        </w:rPr>
        <w:t xml:space="preserve"> an agreement on an LS reply</w:t>
      </w:r>
      <w:r w:rsidR="003C3722" w:rsidRPr="00DA5653">
        <w:rPr>
          <w:bCs/>
        </w:rPr>
        <w:t xml:space="preserve"> </w:t>
      </w:r>
      <w:r w:rsidR="00176FE9" w:rsidRPr="00DA5653">
        <w:rPr>
          <w:bCs/>
        </w:rPr>
        <w:t xml:space="preserve">at SA3#120 </w:t>
      </w:r>
      <w:r w:rsidR="003C3722" w:rsidRPr="00DA5653">
        <w:rPr>
          <w:bCs/>
        </w:rPr>
        <w:t>although the discussion is likely to continue</w:t>
      </w:r>
      <w:r w:rsidR="0080608A" w:rsidRPr="00DA5653">
        <w:rPr>
          <w:bCs/>
        </w:rPr>
        <w:t xml:space="preserve"> at SA3#121</w:t>
      </w:r>
      <w:r w:rsidR="003C3722" w:rsidRPr="00DA5653">
        <w:rPr>
          <w:bCs/>
        </w:rPr>
        <w:t>.</w:t>
      </w:r>
    </w:p>
    <w:p w14:paraId="6641DED8" w14:textId="0959C59F" w:rsidR="009E43FE" w:rsidRDefault="00DA5653" w:rsidP="00FA5527">
      <w:pPr>
        <w:rPr>
          <w:bCs/>
        </w:rPr>
      </w:pPr>
      <w:r>
        <w:rPr>
          <w:bCs/>
        </w:rPr>
        <w:t xml:space="preserve">Given the above, it seems difficult to agree on a resolution of the Editor’s Note at SA2#168. However, with respect to the user consent purpose discussion, the existing analytics purpose is meant to be used when data is collected from a UE to perform inference at NWDAF and derive the analytics. But Rel-19 and current Rel-20 discussion demonstrate that data from the UE </w:t>
      </w:r>
      <w:r w:rsidR="00F22170">
        <w:rPr>
          <w:bCs/>
        </w:rPr>
        <w:t>may also be</w:t>
      </w:r>
      <w:r>
        <w:rPr>
          <w:bCs/>
        </w:rPr>
        <w:t xml:space="preserve"> collected </w:t>
      </w:r>
      <w:r w:rsidR="00F22170">
        <w:rPr>
          <w:bCs/>
        </w:rPr>
        <w:t xml:space="preserve">at the 5GC </w:t>
      </w:r>
      <w:r>
        <w:rPr>
          <w:bCs/>
        </w:rPr>
        <w:t xml:space="preserve">to perform inference operations for reasons </w:t>
      </w:r>
      <w:r w:rsidR="00F22170">
        <w:rPr>
          <w:bCs/>
        </w:rPr>
        <w:t xml:space="preserve">other than deriving analytics (e.g. AI/ML-based positioning). </w:t>
      </w:r>
      <w:r w:rsidR="009E43FE">
        <w:rPr>
          <w:bCs/>
        </w:rPr>
        <w:t>To address this</w:t>
      </w:r>
      <w:r w:rsidR="0016427F">
        <w:rPr>
          <w:bCs/>
        </w:rPr>
        <w:t xml:space="preserve"> and minimize system impacts</w:t>
      </w:r>
      <w:r w:rsidR="009E43FE">
        <w:rPr>
          <w:bCs/>
        </w:rPr>
        <w:t xml:space="preserve">, the solution we propose is to leverage the NOTE in Proposal 2 to </w:t>
      </w:r>
      <w:r w:rsidR="0016427F">
        <w:rPr>
          <w:bCs/>
        </w:rPr>
        <w:t>further</w:t>
      </w:r>
      <w:r w:rsidR="009E43FE">
        <w:rPr>
          <w:bCs/>
        </w:rPr>
        <w:t xml:space="preserve"> indicate that</w:t>
      </w:r>
      <w:r w:rsidR="0016427F">
        <w:rPr>
          <w:bCs/>
        </w:rPr>
        <w:t xml:space="preserve"> the analytics purpose in </w:t>
      </w:r>
      <w:r w:rsidR="0016427F" w:rsidRPr="0016427F">
        <w:rPr>
          <w:bCs/>
        </w:rPr>
        <w:t xml:space="preserve">Table 5.2.3.3.1-1 of TS 23.502 </w:t>
      </w:r>
      <w:r w:rsidR="0016427F">
        <w:rPr>
          <w:bCs/>
        </w:rPr>
        <w:t xml:space="preserve">also applies to other inference operations, and any further details would be left to Stage 3. </w:t>
      </w:r>
    </w:p>
    <w:p w14:paraId="0150B4E9" w14:textId="3140BF81" w:rsidR="00654671" w:rsidRPr="00E3438F" w:rsidRDefault="002A09CF" w:rsidP="00E3438F">
      <w:pPr>
        <w:rPr>
          <w:b/>
        </w:rPr>
      </w:pPr>
      <w:r w:rsidRPr="003C3722">
        <w:rPr>
          <w:b/>
        </w:rPr>
        <w:t>Proposal</w:t>
      </w:r>
      <w:r w:rsidR="003C3722">
        <w:rPr>
          <w:b/>
        </w:rPr>
        <w:t xml:space="preserve"> </w:t>
      </w:r>
      <w:r w:rsidR="00592F5F">
        <w:rPr>
          <w:b/>
        </w:rPr>
        <w:t>3</w:t>
      </w:r>
      <w:r w:rsidR="003C3722">
        <w:rPr>
          <w:b/>
        </w:rPr>
        <w:t>:</w:t>
      </w:r>
      <w:r w:rsidRPr="003C3722">
        <w:rPr>
          <w:b/>
        </w:rPr>
        <w:t xml:space="preserve"> </w:t>
      </w:r>
      <w:r w:rsidR="0016427F">
        <w:rPr>
          <w:b/>
        </w:rPr>
        <w:t>L</w:t>
      </w:r>
      <w:r w:rsidR="0016427F" w:rsidRPr="0016427F">
        <w:rPr>
          <w:b/>
        </w:rPr>
        <w:t>everage the NOTE in Proposal 2 to further indicate that the analytics purpose in Table 5.2.3.3.1-1 of TS 23.502 also applies to other inference operations, and any further details would be left to Stage 3</w:t>
      </w:r>
      <w:r w:rsidR="00592F5F">
        <w:rPr>
          <w:b/>
        </w:rPr>
        <w:t xml:space="preserve">. </w:t>
      </w:r>
    </w:p>
    <w:p w14:paraId="4A5A4B4A" w14:textId="030D8420" w:rsidR="00462FB1" w:rsidRPr="00462FB1" w:rsidRDefault="00462FB1" w:rsidP="00462FB1">
      <w:pPr>
        <w:pStyle w:val="Heading2"/>
      </w:pPr>
      <w:r>
        <w:t>1.</w:t>
      </w:r>
      <w:r>
        <w:t>4</w:t>
      </w:r>
      <w:r>
        <w:tab/>
      </w:r>
      <w:r w:rsidRPr="00462FB1">
        <w:t>Documentation aspects</w:t>
      </w:r>
    </w:p>
    <w:p w14:paraId="123B3486" w14:textId="6E822494" w:rsidR="00570E42" w:rsidRDefault="005107BE" w:rsidP="00570E42">
      <w:pPr>
        <w:rPr>
          <w:bCs/>
        </w:rPr>
      </w:pPr>
      <w:r>
        <w:rPr>
          <w:bCs/>
        </w:rPr>
        <w:t>AI/ML-based positioning combines two technologies (AI/ML and positioning) for which different user consent and privacy mechanisms were specified in previous releases</w:t>
      </w:r>
      <w:r w:rsidR="00A27227">
        <w:rPr>
          <w:bCs/>
        </w:rPr>
        <w:t>, therefore introducing unclarity on h</w:t>
      </w:r>
      <w:r>
        <w:rPr>
          <w:bCs/>
        </w:rPr>
        <w:t xml:space="preserve">ow those mechanisms are applied to AI/ML-based positioning </w:t>
      </w:r>
      <w:r w:rsidR="00A27227">
        <w:rPr>
          <w:bCs/>
        </w:rPr>
        <w:t>and generating</w:t>
      </w:r>
      <w:r>
        <w:rPr>
          <w:bCs/>
        </w:rPr>
        <w:t xml:space="preserve"> controversial discussions in previous SA2 meetings</w:t>
      </w:r>
      <w:r w:rsidR="00A27227">
        <w:rPr>
          <w:bCs/>
        </w:rPr>
        <w:t>. In addition, SA2 specifications</w:t>
      </w:r>
      <w:r>
        <w:rPr>
          <w:bCs/>
        </w:rPr>
        <w:t xml:space="preserve"> </w:t>
      </w:r>
      <w:r w:rsidR="00A27227">
        <w:rPr>
          <w:bCs/>
        </w:rPr>
        <w:t>do not describe a user consent framework independent of the 5GC NF that performs the check, but instead an NWDAF-centric framework was specified</w:t>
      </w:r>
      <w:r>
        <w:rPr>
          <w:bCs/>
        </w:rPr>
        <w:t xml:space="preserve"> </w:t>
      </w:r>
      <w:r w:rsidR="00A27227">
        <w:rPr>
          <w:bCs/>
        </w:rPr>
        <w:t xml:space="preserve">in cl. 6.2.9 of TS 23.288 during Rel-17 for the specific use case of analytics. While most of the user consent framework description in TS 23.288 is </w:t>
      </w:r>
      <w:r w:rsidR="005F3213">
        <w:rPr>
          <w:bCs/>
        </w:rPr>
        <w:t>indeed</w:t>
      </w:r>
      <w:r w:rsidR="00A27227">
        <w:rPr>
          <w:bCs/>
        </w:rPr>
        <w:t xml:space="preserve"> valid </w:t>
      </w:r>
      <w:r w:rsidR="00776273">
        <w:rPr>
          <w:bCs/>
        </w:rPr>
        <w:t>for AI/ML-based positioning</w:t>
      </w:r>
      <w:r w:rsidR="005F3213">
        <w:rPr>
          <w:bCs/>
        </w:rPr>
        <w:t xml:space="preserve"> </w:t>
      </w:r>
      <w:r w:rsidR="009B78CD">
        <w:rPr>
          <w:bCs/>
        </w:rPr>
        <w:t>on us</w:t>
      </w:r>
      <w:r w:rsidR="00776273">
        <w:rPr>
          <w:bCs/>
        </w:rPr>
        <w:t xml:space="preserve">, </w:t>
      </w:r>
      <w:r w:rsidR="00570E42">
        <w:rPr>
          <w:bCs/>
        </w:rPr>
        <w:t xml:space="preserve">it is in our view crucial to indicate in TS 23.273 where the framework is described along the fact that it is LMF instead of NWDAF the 5GC NF that checks user consent for AI/ML-based positioning. Furthermore, we propose to include the LMF check on the UE privacy profile since this is another differentiating factor with NWDAF for ground truth data collection.  </w:t>
      </w:r>
    </w:p>
    <w:p w14:paraId="2196EBC7" w14:textId="72F7B8D9" w:rsidR="005F3213" w:rsidRPr="00570E42" w:rsidRDefault="00570E42" w:rsidP="009B7B22">
      <w:pPr>
        <w:rPr>
          <w:bCs/>
        </w:rPr>
      </w:pPr>
      <w:r>
        <w:rPr>
          <w:bCs/>
        </w:rPr>
        <w:t xml:space="preserve">Because of the above, we propose a new dedicated sub-clause for user consent and privacy aspects of AI/ML-based positioning to enhance the clarity of the specification. </w:t>
      </w:r>
    </w:p>
    <w:p w14:paraId="2D926AA0" w14:textId="17483C3B" w:rsidR="006B4769" w:rsidRPr="0016427F" w:rsidRDefault="00555AB4" w:rsidP="00305143">
      <w:pPr>
        <w:rPr>
          <w:b/>
          <w:bCs/>
        </w:rPr>
      </w:pPr>
      <w:r w:rsidRPr="009B7B22">
        <w:rPr>
          <w:b/>
        </w:rPr>
        <w:t xml:space="preserve">Proposal </w:t>
      </w:r>
      <w:r w:rsidR="009B7B22">
        <w:rPr>
          <w:b/>
        </w:rPr>
        <w:t>4: A</w:t>
      </w:r>
      <w:r w:rsidRPr="009B7B22">
        <w:rPr>
          <w:b/>
        </w:rPr>
        <w:t xml:space="preserve">dd a new </w:t>
      </w:r>
      <w:r w:rsidR="009B7B22">
        <w:rPr>
          <w:b/>
        </w:rPr>
        <w:t>sub-</w:t>
      </w:r>
      <w:r w:rsidRPr="009B7B22">
        <w:rPr>
          <w:b/>
        </w:rPr>
        <w:t>clause</w:t>
      </w:r>
      <w:r w:rsidR="00570E42">
        <w:rPr>
          <w:b/>
        </w:rPr>
        <w:t xml:space="preserve"> </w:t>
      </w:r>
      <w:r w:rsidR="00570E42" w:rsidRPr="00570E42">
        <w:rPr>
          <w:b/>
          <w:bCs/>
        </w:rPr>
        <w:t>for user consent and privacy aspects of AI/ML-based positioning</w:t>
      </w:r>
      <w:r w:rsidR="00570E42">
        <w:rPr>
          <w:b/>
          <w:bCs/>
        </w:rPr>
        <w:t>.</w:t>
      </w:r>
    </w:p>
    <w:p w14:paraId="3E92F8EF" w14:textId="03615A74" w:rsidR="007A353B" w:rsidRDefault="007A353B" w:rsidP="00F628A2">
      <w:pPr>
        <w:pStyle w:val="Heading1"/>
      </w:pPr>
      <w:r>
        <w:t xml:space="preserve">2. </w:t>
      </w:r>
      <w:r w:rsidR="00CE16C5">
        <w:t>Proposals</w:t>
      </w:r>
      <w:r>
        <w:t xml:space="preserve"> </w:t>
      </w:r>
    </w:p>
    <w:p w14:paraId="662E17AF" w14:textId="77777777" w:rsidR="006B4769" w:rsidRDefault="006B4769" w:rsidP="006B4769">
      <w:pPr>
        <w:rPr>
          <w:b/>
        </w:rPr>
      </w:pPr>
      <w:r w:rsidRPr="00DB0721">
        <w:rPr>
          <w:b/>
        </w:rPr>
        <w:t xml:space="preserve">Proposal 1: LMF </w:t>
      </w:r>
      <w:r>
        <w:rPr>
          <w:b/>
        </w:rPr>
        <w:t xml:space="preserve">is the NF that </w:t>
      </w:r>
      <w:r w:rsidRPr="00DB0721">
        <w:rPr>
          <w:b/>
        </w:rPr>
        <w:t>checks UE LCS privacy profile when ground truth data (i.e. UE location) is collected for training and/or performance monitoring. This check is mandatory when AI/ML-based positioning is performed at NWDAF</w:t>
      </w:r>
      <w:r>
        <w:rPr>
          <w:b/>
        </w:rPr>
        <w:t>.</w:t>
      </w:r>
    </w:p>
    <w:p w14:paraId="695914DE" w14:textId="77777777" w:rsidR="00BA5084" w:rsidRPr="005665CA" w:rsidRDefault="00BA5084" w:rsidP="00BA5084">
      <w:pPr>
        <w:rPr>
          <w:b/>
        </w:rPr>
      </w:pPr>
      <w:r w:rsidRPr="005665CA">
        <w:rPr>
          <w:b/>
        </w:rPr>
        <w:t>Proposal</w:t>
      </w:r>
      <w:r>
        <w:rPr>
          <w:b/>
        </w:rPr>
        <w:t xml:space="preserve"> 2:</w:t>
      </w:r>
      <w:r w:rsidRPr="005665CA">
        <w:rPr>
          <w:b/>
        </w:rPr>
        <w:t xml:space="preserve"> </w:t>
      </w:r>
      <w:r>
        <w:rPr>
          <w:b/>
        </w:rPr>
        <w:t xml:space="preserve">Add a </w:t>
      </w:r>
      <w:r w:rsidRPr="005665CA">
        <w:rPr>
          <w:b/>
        </w:rPr>
        <w:t>NOTE</w:t>
      </w:r>
      <w:r>
        <w:rPr>
          <w:b/>
        </w:rPr>
        <w:t xml:space="preserve"> </w:t>
      </w:r>
      <w:r w:rsidRPr="00FD4D82">
        <w:rPr>
          <w:b/>
          <w:bCs/>
        </w:rPr>
        <w:t>in Table 5.2.3.3.1-1</w:t>
      </w:r>
      <w:r>
        <w:rPr>
          <w:b/>
          <w:bCs/>
        </w:rPr>
        <w:t xml:space="preserve"> </w:t>
      </w:r>
      <w:r w:rsidRPr="00FD4D82">
        <w:rPr>
          <w:b/>
          <w:bCs/>
        </w:rPr>
        <w:t>of TS 23.502</w:t>
      </w:r>
      <w:r w:rsidRPr="005665CA">
        <w:rPr>
          <w:b/>
        </w:rPr>
        <w:t xml:space="preserve"> indicating that </w:t>
      </w:r>
      <w:r>
        <w:rPr>
          <w:b/>
        </w:rPr>
        <w:t xml:space="preserve">model </w:t>
      </w:r>
      <w:r w:rsidRPr="005665CA">
        <w:rPr>
          <w:b/>
        </w:rPr>
        <w:t>training</w:t>
      </w:r>
      <w:r>
        <w:rPr>
          <w:b/>
        </w:rPr>
        <w:t xml:space="preserve"> purpose</w:t>
      </w:r>
      <w:r w:rsidRPr="005665CA">
        <w:rPr>
          <w:b/>
        </w:rPr>
        <w:t xml:space="preserve"> applies to both model training and</w:t>
      </w:r>
      <w:r>
        <w:rPr>
          <w:b/>
        </w:rPr>
        <w:t xml:space="preserve"> model</w:t>
      </w:r>
      <w:r w:rsidRPr="005665CA">
        <w:rPr>
          <w:b/>
        </w:rPr>
        <w:t xml:space="preserve"> performance monitoring</w:t>
      </w:r>
      <w:r>
        <w:rPr>
          <w:b/>
        </w:rPr>
        <w:t>, and any extension to user consent purpose would be left to Stage 3.</w:t>
      </w:r>
    </w:p>
    <w:p w14:paraId="745C62D3" w14:textId="77777777" w:rsidR="0016427F" w:rsidRPr="00E3438F" w:rsidRDefault="0016427F" w:rsidP="0016427F">
      <w:pPr>
        <w:rPr>
          <w:b/>
        </w:rPr>
      </w:pPr>
      <w:r w:rsidRPr="003C3722">
        <w:rPr>
          <w:b/>
        </w:rPr>
        <w:lastRenderedPageBreak/>
        <w:t>Proposal</w:t>
      </w:r>
      <w:r>
        <w:rPr>
          <w:b/>
        </w:rPr>
        <w:t xml:space="preserve"> 3:</w:t>
      </w:r>
      <w:r w:rsidRPr="003C3722">
        <w:rPr>
          <w:b/>
        </w:rPr>
        <w:t xml:space="preserve"> </w:t>
      </w:r>
      <w:r>
        <w:rPr>
          <w:b/>
        </w:rPr>
        <w:t>L</w:t>
      </w:r>
      <w:r w:rsidRPr="0016427F">
        <w:rPr>
          <w:b/>
        </w:rPr>
        <w:t>everage the NOTE in Proposal 2 to further indicate that the analytics purpose in Table 5.2.3.3.1-1 of TS 23.502 also applies to other inference operations, and any further details would be left to Stage 3</w:t>
      </w:r>
      <w:r>
        <w:rPr>
          <w:b/>
        </w:rPr>
        <w:t xml:space="preserve">. </w:t>
      </w:r>
    </w:p>
    <w:p w14:paraId="5D345C93" w14:textId="77777777" w:rsidR="006B4769" w:rsidRPr="00570E42" w:rsidRDefault="006B4769" w:rsidP="006B4769">
      <w:pPr>
        <w:rPr>
          <w:b/>
        </w:rPr>
      </w:pPr>
      <w:r w:rsidRPr="009B7B22">
        <w:rPr>
          <w:b/>
        </w:rPr>
        <w:t xml:space="preserve">Proposal </w:t>
      </w:r>
      <w:r>
        <w:rPr>
          <w:b/>
        </w:rPr>
        <w:t>4: A</w:t>
      </w:r>
      <w:r w:rsidRPr="009B7B22">
        <w:rPr>
          <w:b/>
        </w:rPr>
        <w:t xml:space="preserve">dd a new </w:t>
      </w:r>
      <w:r>
        <w:rPr>
          <w:b/>
        </w:rPr>
        <w:t>sub-</w:t>
      </w:r>
      <w:r w:rsidRPr="009B7B22">
        <w:rPr>
          <w:b/>
        </w:rPr>
        <w:t>clause</w:t>
      </w:r>
      <w:r>
        <w:rPr>
          <w:b/>
        </w:rPr>
        <w:t xml:space="preserve"> </w:t>
      </w:r>
      <w:r w:rsidRPr="00570E42">
        <w:rPr>
          <w:b/>
          <w:bCs/>
        </w:rPr>
        <w:t>for user consent and privacy aspects of AI/ML-based positioning</w:t>
      </w:r>
      <w:r>
        <w:rPr>
          <w:b/>
          <w:bCs/>
        </w:rPr>
        <w:t>.</w:t>
      </w:r>
    </w:p>
    <w:p w14:paraId="229F951B" w14:textId="77777777" w:rsidR="006B4769" w:rsidRPr="005665CA" w:rsidRDefault="006B4769" w:rsidP="006B4769">
      <w:pPr>
        <w:rPr>
          <w:b/>
        </w:rPr>
      </w:pPr>
    </w:p>
    <w:p w14:paraId="2A008BFF" w14:textId="77777777" w:rsidR="005665CA" w:rsidRDefault="005665CA" w:rsidP="005665CA">
      <w:pPr>
        <w:rPr>
          <w:b/>
        </w:rPr>
      </w:pPr>
    </w:p>
    <w:p w14:paraId="467E5C16" w14:textId="0A13F972" w:rsidR="006E5727" w:rsidRPr="00DF3C60" w:rsidRDefault="006E5727" w:rsidP="00F628A2"/>
    <w:sectPr w:rsidR="006E572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AABD" w14:textId="77777777" w:rsidR="00C85356" w:rsidRDefault="00C85356">
      <w:r>
        <w:separator/>
      </w:r>
    </w:p>
    <w:p w14:paraId="37C8FA1D" w14:textId="77777777" w:rsidR="00C85356" w:rsidRDefault="00C85356"/>
  </w:endnote>
  <w:endnote w:type="continuationSeparator" w:id="0">
    <w:p w14:paraId="30CE6C6E" w14:textId="77777777" w:rsidR="00C85356" w:rsidRDefault="00C85356">
      <w:r>
        <w:continuationSeparator/>
      </w:r>
    </w:p>
    <w:p w14:paraId="7A227387" w14:textId="77777777" w:rsidR="00C85356" w:rsidRDefault="00C85356"/>
  </w:endnote>
  <w:endnote w:type="continuationNotice" w:id="1">
    <w:p w14:paraId="02714402" w14:textId="77777777" w:rsidR="00C85356" w:rsidRDefault="00C85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43ADE" w14:textId="77777777" w:rsidR="00C85356" w:rsidRDefault="00C85356">
      <w:r>
        <w:separator/>
      </w:r>
    </w:p>
    <w:p w14:paraId="14533E21" w14:textId="77777777" w:rsidR="00C85356" w:rsidRDefault="00C85356"/>
  </w:footnote>
  <w:footnote w:type="continuationSeparator" w:id="0">
    <w:p w14:paraId="3A44301F" w14:textId="77777777" w:rsidR="00C85356" w:rsidRDefault="00C85356">
      <w:r>
        <w:continuationSeparator/>
      </w:r>
    </w:p>
    <w:p w14:paraId="64F6DAF1" w14:textId="77777777" w:rsidR="00C85356" w:rsidRDefault="00C85356"/>
  </w:footnote>
  <w:footnote w:type="continuationNotice" w:id="1">
    <w:p w14:paraId="70A535B2" w14:textId="77777777" w:rsidR="00C85356" w:rsidRDefault="00C853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B73EEF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15176098" o:spid="_x0000_i1025" type="#_x0000_t75" style="width:15.95pt;height:15.95pt;visibility:visible;mso-wrap-style:square">
            <v:imagedata r:id="rId1" o:title=""/>
          </v:shape>
        </w:pict>
      </mc:Choice>
      <mc:Fallback>
        <w:drawing>
          <wp:inline distT="0" distB="0" distL="0" distR="0" wp14:anchorId="7423E182" wp14:editId="1F8F3EBA">
            <wp:extent cx="202565" cy="202565"/>
            <wp:effectExtent l="0" t="0" r="0" b="0"/>
            <wp:docPr id="1515176098" name="Picture 1515176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2565" cy="202565"/>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CC979E8"/>
    <w:multiLevelType w:val="multilevel"/>
    <w:tmpl w:val="3E1C3CA8"/>
    <w:lvl w:ilvl="0">
      <w:start w:val="1"/>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5F60F47"/>
    <w:multiLevelType w:val="hybridMultilevel"/>
    <w:tmpl w:val="9E6E6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7"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3"/>
  </w:num>
  <w:num w:numId="2" w16cid:durableId="546264430">
    <w:abstractNumId w:val="24"/>
  </w:num>
  <w:num w:numId="3" w16cid:durableId="976226586">
    <w:abstractNumId w:val="13"/>
  </w:num>
  <w:num w:numId="4" w16cid:durableId="816263066">
    <w:abstractNumId w:val="21"/>
  </w:num>
  <w:num w:numId="5" w16cid:durableId="1930458234">
    <w:abstractNumId w:val="31"/>
  </w:num>
  <w:num w:numId="6" w16cid:durableId="212472176">
    <w:abstractNumId w:val="41"/>
  </w:num>
  <w:num w:numId="7" w16cid:durableId="60948834">
    <w:abstractNumId w:val="26"/>
  </w:num>
  <w:num w:numId="8" w16cid:durableId="833450075">
    <w:abstractNumId w:val="30"/>
  </w:num>
  <w:num w:numId="9" w16cid:durableId="138305074">
    <w:abstractNumId w:val="35"/>
  </w:num>
  <w:num w:numId="10" w16cid:durableId="1376542618">
    <w:abstractNumId w:val="42"/>
  </w:num>
  <w:num w:numId="11" w16cid:durableId="1798327382">
    <w:abstractNumId w:val="27"/>
  </w:num>
  <w:num w:numId="12" w16cid:durableId="1221402666">
    <w:abstractNumId w:val="10"/>
  </w:num>
  <w:num w:numId="13" w16cid:durableId="1139225555">
    <w:abstractNumId w:val="18"/>
  </w:num>
  <w:num w:numId="14" w16cid:durableId="925386879">
    <w:abstractNumId w:val="28"/>
  </w:num>
  <w:num w:numId="15" w16cid:durableId="2003192033">
    <w:abstractNumId w:val="40"/>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7"/>
  </w:num>
  <w:num w:numId="27" w16cid:durableId="1201014842">
    <w:abstractNumId w:val="38"/>
  </w:num>
  <w:num w:numId="28" w16cid:durableId="20907469">
    <w:abstractNumId w:val="39"/>
  </w:num>
  <w:num w:numId="29" w16cid:durableId="834958855">
    <w:abstractNumId w:val="15"/>
  </w:num>
  <w:num w:numId="30" w16cid:durableId="2118600509">
    <w:abstractNumId w:val="25"/>
  </w:num>
  <w:num w:numId="31" w16cid:durableId="885145315">
    <w:abstractNumId w:val="14"/>
  </w:num>
  <w:num w:numId="32" w16cid:durableId="328557071">
    <w:abstractNumId w:val="23"/>
  </w:num>
  <w:num w:numId="33" w16cid:durableId="525564251">
    <w:abstractNumId w:val="12"/>
  </w:num>
  <w:num w:numId="34" w16cid:durableId="1224827392">
    <w:abstractNumId w:val="29"/>
  </w:num>
  <w:num w:numId="35" w16cid:durableId="1467815605">
    <w:abstractNumId w:val="11"/>
  </w:num>
  <w:num w:numId="36" w16cid:durableId="628360908">
    <w:abstractNumId w:val="16"/>
  </w:num>
  <w:num w:numId="37" w16cid:durableId="138422062">
    <w:abstractNumId w:val="43"/>
  </w:num>
  <w:num w:numId="38" w16cid:durableId="226840274">
    <w:abstractNumId w:val="34"/>
  </w:num>
  <w:num w:numId="39" w16cid:durableId="372073332">
    <w:abstractNumId w:val="19"/>
  </w:num>
  <w:num w:numId="40" w16cid:durableId="1518035842">
    <w:abstractNumId w:val="36"/>
  </w:num>
  <w:num w:numId="41" w16cid:durableId="334654010">
    <w:abstractNumId w:val="32"/>
  </w:num>
  <w:num w:numId="42" w16cid:durableId="368605603">
    <w:abstractNumId w:val="20"/>
  </w:num>
  <w:num w:numId="43" w16cid:durableId="889389863">
    <w:abstractNumId w:val="22"/>
  </w:num>
  <w:num w:numId="44" w16cid:durableId="900797951">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57A4"/>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AC"/>
    <w:rsid w:val="00040CC2"/>
    <w:rsid w:val="00040CF3"/>
    <w:rsid w:val="000410CE"/>
    <w:rsid w:val="000419B8"/>
    <w:rsid w:val="00041E56"/>
    <w:rsid w:val="00041F7E"/>
    <w:rsid w:val="00041FA7"/>
    <w:rsid w:val="000420BA"/>
    <w:rsid w:val="00043303"/>
    <w:rsid w:val="00043C43"/>
    <w:rsid w:val="00044075"/>
    <w:rsid w:val="00045722"/>
    <w:rsid w:val="00045A8D"/>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3DC3"/>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27F"/>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569D"/>
    <w:rsid w:val="001765B4"/>
    <w:rsid w:val="00176CD0"/>
    <w:rsid w:val="00176FE9"/>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B22"/>
    <w:rsid w:val="001E79BE"/>
    <w:rsid w:val="001F0BF7"/>
    <w:rsid w:val="001F0F75"/>
    <w:rsid w:val="001F1523"/>
    <w:rsid w:val="001F1A0F"/>
    <w:rsid w:val="001F2899"/>
    <w:rsid w:val="001F2C8E"/>
    <w:rsid w:val="001F320F"/>
    <w:rsid w:val="001F381B"/>
    <w:rsid w:val="001F3D3F"/>
    <w:rsid w:val="001F4582"/>
    <w:rsid w:val="001F478B"/>
    <w:rsid w:val="001F48F0"/>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2EBD"/>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09C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0BAC"/>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4579"/>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3722"/>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989"/>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603EE"/>
    <w:rsid w:val="004611C8"/>
    <w:rsid w:val="0046155A"/>
    <w:rsid w:val="00461C88"/>
    <w:rsid w:val="004621A7"/>
    <w:rsid w:val="0046254E"/>
    <w:rsid w:val="00462B3D"/>
    <w:rsid w:val="00462FB1"/>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7BE"/>
    <w:rsid w:val="005108F7"/>
    <w:rsid w:val="00512FC2"/>
    <w:rsid w:val="00513A12"/>
    <w:rsid w:val="005144A6"/>
    <w:rsid w:val="005145DB"/>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AB4"/>
    <w:rsid w:val="00555F6C"/>
    <w:rsid w:val="00556068"/>
    <w:rsid w:val="005568FB"/>
    <w:rsid w:val="0055782B"/>
    <w:rsid w:val="00561209"/>
    <w:rsid w:val="005612D1"/>
    <w:rsid w:val="00562067"/>
    <w:rsid w:val="0056459E"/>
    <w:rsid w:val="00564B0D"/>
    <w:rsid w:val="00564DC3"/>
    <w:rsid w:val="005657E5"/>
    <w:rsid w:val="00565D6F"/>
    <w:rsid w:val="00566387"/>
    <w:rsid w:val="005665CA"/>
    <w:rsid w:val="00566A66"/>
    <w:rsid w:val="00567317"/>
    <w:rsid w:val="00570E42"/>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2F5F"/>
    <w:rsid w:val="005932C8"/>
    <w:rsid w:val="00593984"/>
    <w:rsid w:val="0059430C"/>
    <w:rsid w:val="0059560E"/>
    <w:rsid w:val="00595C4B"/>
    <w:rsid w:val="00596617"/>
    <w:rsid w:val="00597300"/>
    <w:rsid w:val="005973DC"/>
    <w:rsid w:val="005976E8"/>
    <w:rsid w:val="0059773D"/>
    <w:rsid w:val="00597E92"/>
    <w:rsid w:val="005A0320"/>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2D7"/>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213"/>
    <w:rsid w:val="005F33AF"/>
    <w:rsid w:val="005F3633"/>
    <w:rsid w:val="005F3781"/>
    <w:rsid w:val="005F37FE"/>
    <w:rsid w:val="005F3C85"/>
    <w:rsid w:val="005F4413"/>
    <w:rsid w:val="005F4527"/>
    <w:rsid w:val="005F59D9"/>
    <w:rsid w:val="005F6655"/>
    <w:rsid w:val="005F6BD8"/>
    <w:rsid w:val="005F76E9"/>
    <w:rsid w:val="00601CC9"/>
    <w:rsid w:val="00602155"/>
    <w:rsid w:val="0060262F"/>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8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671"/>
    <w:rsid w:val="00656A95"/>
    <w:rsid w:val="0066251F"/>
    <w:rsid w:val="00662ABE"/>
    <w:rsid w:val="00664B3D"/>
    <w:rsid w:val="00665688"/>
    <w:rsid w:val="00665E8C"/>
    <w:rsid w:val="00666995"/>
    <w:rsid w:val="0066757F"/>
    <w:rsid w:val="006701F5"/>
    <w:rsid w:val="006705D5"/>
    <w:rsid w:val="00670B80"/>
    <w:rsid w:val="00670D34"/>
    <w:rsid w:val="00670E38"/>
    <w:rsid w:val="00671D64"/>
    <w:rsid w:val="00672471"/>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476"/>
    <w:rsid w:val="006A770B"/>
    <w:rsid w:val="006B000C"/>
    <w:rsid w:val="006B02B8"/>
    <w:rsid w:val="006B043A"/>
    <w:rsid w:val="006B075D"/>
    <w:rsid w:val="006B134E"/>
    <w:rsid w:val="006B2832"/>
    <w:rsid w:val="006B2842"/>
    <w:rsid w:val="006B3143"/>
    <w:rsid w:val="006B3A95"/>
    <w:rsid w:val="006B3B78"/>
    <w:rsid w:val="006B402E"/>
    <w:rsid w:val="006B4769"/>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15F"/>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273"/>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006"/>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A9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608A"/>
    <w:rsid w:val="008078EE"/>
    <w:rsid w:val="00807E74"/>
    <w:rsid w:val="008103FE"/>
    <w:rsid w:val="0081189C"/>
    <w:rsid w:val="008118F8"/>
    <w:rsid w:val="00811981"/>
    <w:rsid w:val="0081245E"/>
    <w:rsid w:val="00812CCD"/>
    <w:rsid w:val="00813357"/>
    <w:rsid w:val="008134FC"/>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79F"/>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2A7"/>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2C14"/>
    <w:rsid w:val="008C32D5"/>
    <w:rsid w:val="008C362C"/>
    <w:rsid w:val="008C3743"/>
    <w:rsid w:val="008C4329"/>
    <w:rsid w:val="008C4610"/>
    <w:rsid w:val="008C4952"/>
    <w:rsid w:val="008C4D97"/>
    <w:rsid w:val="008C5B59"/>
    <w:rsid w:val="008C6B13"/>
    <w:rsid w:val="008C6F17"/>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4FD2"/>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B7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24A9"/>
    <w:rsid w:val="009934B9"/>
    <w:rsid w:val="0099355E"/>
    <w:rsid w:val="00993749"/>
    <w:rsid w:val="009946FC"/>
    <w:rsid w:val="00994A99"/>
    <w:rsid w:val="00994AE2"/>
    <w:rsid w:val="009952E9"/>
    <w:rsid w:val="00995E59"/>
    <w:rsid w:val="009967F1"/>
    <w:rsid w:val="00996972"/>
    <w:rsid w:val="009969A1"/>
    <w:rsid w:val="00996F69"/>
    <w:rsid w:val="00997FCA"/>
    <w:rsid w:val="009A0C7F"/>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8CD"/>
    <w:rsid w:val="009B7B22"/>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3FE"/>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227"/>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9FD"/>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3B9"/>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27C"/>
    <w:rsid w:val="00B91779"/>
    <w:rsid w:val="00B91E98"/>
    <w:rsid w:val="00B91EAB"/>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084"/>
    <w:rsid w:val="00BA54EF"/>
    <w:rsid w:val="00BA5809"/>
    <w:rsid w:val="00BA6114"/>
    <w:rsid w:val="00BA632A"/>
    <w:rsid w:val="00BA7455"/>
    <w:rsid w:val="00BA7676"/>
    <w:rsid w:val="00BA7AC1"/>
    <w:rsid w:val="00BB02B7"/>
    <w:rsid w:val="00BB0C50"/>
    <w:rsid w:val="00BB16F4"/>
    <w:rsid w:val="00BB1FA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0E3E"/>
    <w:rsid w:val="00BE10F1"/>
    <w:rsid w:val="00BE1455"/>
    <w:rsid w:val="00BE1A5A"/>
    <w:rsid w:val="00BE22D2"/>
    <w:rsid w:val="00BE231E"/>
    <w:rsid w:val="00BE256F"/>
    <w:rsid w:val="00BE2828"/>
    <w:rsid w:val="00BE2B0A"/>
    <w:rsid w:val="00BE3468"/>
    <w:rsid w:val="00BE37CB"/>
    <w:rsid w:val="00BE42F2"/>
    <w:rsid w:val="00BE45B1"/>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2FE2"/>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5356"/>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440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0C3F"/>
    <w:rsid w:val="00CE14C8"/>
    <w:rsid w:val="00CE16C5"/>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6DF3"/>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D26"/>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653"/>
    <w:rsid w:val="00DA5C7E"/>
    <w:rsid w:val="00DA5E2A"/>
    <w:rsid w:val="00DA5E70"/>
    <w:rsid w:val="00DA618C"/>
    <w:rsid w:val="00DA7F6E"/>
    <w:rsid w:val="00DB0721"/>
    <w:rsid w:val="00DB1848"/>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CCE"/>
    <w:rsid w:val="00E27D0C"/>
    <w:rsid w:val="00E30F53"/>
    <w:rsid w:val="00E311F4"/>
    <w:rsid w:val="00E312C1"/>
    <w:rsid w:val="00E31356"/>
    <w:rsid w:val="00E31D59"/>
    <w:rsid w:val="00E3203C"/>
    <w:rsid w:val="00E32D94"/>
    <w:rsid w:val="00E332E9"/>
    <w:rsid w:val="00E341F3"/>
    <w:rsid w:val="00E3438F"/>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A92"/>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170"/>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6E8"/>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4EE"/>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527"/>
    <w:rsid w:val="00FA5EBD"/>
    <w:rsid w:val="00FA6690"/>
    <w:rsid w:val="00FA73F2"/>
    <w:rsid w:val="00FB0B08"/>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4D82"/>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72DF6"/>
    <w:rPr>
      <w:color w:val="000000"/>
      <w:lang w:val="en-GB" w:eastAsia="ja-JP"/>
    </w:rPr>
  </w:style>
  <w:style w:type="character" w:styleId="Strong">
    <w:name w:val="Strong"/>
    <w:uiPriority w:val="22"/>
    <w:qFormat/>
    <w:rsid w:val="004B2961"/>
    <w:rPr>
      <w:b/>
      <w:bCs/>
    </w:rPr>
  </w:style>
  <w:style w:type="character" w:customStyle="1" w:styleId="normaltextrun">
    <w:name w:val="normaltextrun"/>
    <w:basedOn w:val="DefaultParagraphFont"/>
    <w:rsid w:val="004B2961"/>
  </w:style>
  <w:style w:type="character" w:styleId="UnresolvedMention">
    <w:name w:val="Unresolved Mention"/>
    <w:basedOn w:val="DefaultParagraphFont"/>
    <w:uiPriority w:val="99"/>
    <w:semiHidden/>
    <w:unhideWhenUsed/>
    <w:rsid w:val="00F628A2"/>
    <w:rPr>
      <w:color w:val="605E5C"/>
      <w:shd w:val="clear" w:color="auto" w:fill="E1DFDD"/>
    </w:rPr>
  </w:style>
  <w:style w:type="character" w:styleId="FollowedHyperlink">
    <w:name w:val="FollowedHyperlink"/>
    <w:basedOn w:val="DefaultParagraphFont"/>
    <w:rsid w:val="006E57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cp:lastModifiedBy>
  <cp:revision>24</cp:revision>
  <cp:lastPrinted>2018-08-14T09:59:00Z</cp:lastPrinted>
  <dcterms:created xsi:type="dcterms:W3CDTF">2025-03-27T17:49:00Z</dcterms:created>
  <dcterms:modified xsi:type="dcterms:W3CDTF">2025-03-28T16:31:00Z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